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28" w:before="28" w:line="100" w:lineRule="atLeast"/>
        <w:contextualSpacing w:val="false"/>
      </w:pPr>
      <w:r>
        <w:rPr/>
        <w:drawing>
          <wp:inline distB="0" distL="0" distR="0" distT="0">
            <wp:extent cx="1714500" cy="584200"/>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1714500" cy="584200"/>
                    </a:xfrm>
                    <a:prstGeom prst="rect">
                      <a:avLst/>
                    </a:prstGeom>
                    <a:noFill/>
                    <a:ln w="9525">
                      <a:noFill/>
                      <a:miter lim="800000"/>
                      <a:headEnd/>
                      <a:tailEnd/>
                    </a:ln>
                  </pic:spPr>
                </pic:pic>
              </a:graphicData>
            </a:graphic>
          </wp:inline>
        </w:drawing>
      </w:r>
    </w:p>
    <w:p>
      <w:pPr>
        <w:pStyle w:val="style0"/>
        <w:spacing w:after="28" w:before="28" w:line="100" w:lineRule="atLeast"/>
        <w:contextualSpacing w:val="false"/>
      </w:pPr>
      <w:r>
        <w:rPr>
          <w:rFonts w:ascii="Times New Roman" w:cs="Times New Roman" w:eastAsia="Times New Roman" w:hAnsi="Times New Roman"/>
          <w:b/>
          <w:bCs/>
          <w:sz w:val="48"/>
          <w:szCs w:val="48"/>
          <w:lang w:eastAsia="fr-FR"/>
        </w:rPr>
        <w:t>Les compteurs Linky de nouveau en accusation</w:t>
      </w:r>
    </w:p>
    <w:p>
      <w:pPr>
        <w:pStyle w:val="style0"/>
        <w:numPr>
          <w:ilvl w:val="0"/>
          <w:numId w:val="1"/>
        </w:numPr>
        <w:spacing w:after="28" w:before="28" w:line="100" w:lineRule="atLeast"/>
        <w:contextualSpacing w:val="false"/>
      </w:pPr>
      <w:r>
        <w:rPr>
          <w:rFonts w:ascii="Times New Roman" w:cs="Times New Roman" w:eastAsia="Times New Roman" w:hAnsi="Times New Roman"/>
          <w:sz w:val="24"/>
          <w:szCs w:val="24"/>
          <w:lang w:eastAsia="fr-FR"/>
        </w:rPr>
        <w:t xml:space="preserve">Par  </w:t>
      </w:r>
      <w:hyperlink r:id="rId3">
        <w:r>
          <w:rPr>
            <w:rStyle w:val="style18"/>
            <w:rFonts w:ascii="Times New Roman" w:cs="Times New Roman" w:eastAsia="Times New Roman" w:hAnsi="Times New Roman"/>
            <w:color w:val="0000FF"/>
            <w:sz w:val="24"/>
            <w:szCs w:val="24"/>
            <w:u w:val="single"/>
            <w:lang w:eastAsia="fr-FR"/>
          </w:rPr>
          <w:t xml:space="preserve">Le figaro.fr </w:t>
        </w:r>
      </w:hyperlink>
      <w:r>
        <w:rPr>
          <w:rFonts w:ascii="Times New Roman" w:cs="Times New Roman" w:eastAsia="Times New Roman" w:hAnsi="Times New Roman"/>
          <w:sz w:val="24"/>
          <w:szCs w:val="24"/>
          <w:lang w:eastAsia="fr-FR"/>
        </w:rPr>
        <w:t xml:space="preserve">agence Reuters </w:t>
      </w:r>
    </w:p>
    <w:p>
      <w:pPr>
        <w:pStyle w:val="style0"/>
        <w:numPr>
          <w:ilvl w:val="0"/>
          <w:numId w:val="1"/>
        </w:numPr>
        <w:spacing w:after="28" w:before="28" w:line="100" w:lineRule="atLeast"/>
        <w:contextualSpacing w:val="false"/>
      </w:pPr>
      <w:r>
        <w:rPr>
          <w:rFonts w:ascii="Times New Roman" w:cs="Times New Roman" w:eastAsia="Times New Roman" w:hAnsi="Times New Roman"/>
          <w:sz w:val="24"/>
          <w:szCs w:val="24"/>
          <w:lang w:eastAsia="fr-FR"/>
        </w:rPr>
        <w:t xml:space="preserve">Mis à jour le 19/02/2019 à 13:53 </w:t>
      </w:r>
    </w:p>
    <w:p>
      <w:pPr>
        <w:pStyle w:val="style0"/>
        <w:numPr>
          <w:ilvl w:val="0"/>
          <w:numId w:val="1"/>
        </w:numPr>
        <w:spacing w:after="28" w:before="28" w:line="100" w:lineRule="atLeast"/>
        <w:contextualSpacing w:val="false"/>
      </w:pPr>
      <w:r>
        <w:rPr>
          <w:rFonts w:ascii="Times New Roman" w:cs="Times New Roman" w:eastAsia="Times New Roman" w:hAnsi="Times New Roman"/>
          <w:sz w:val="24"/>
          <w:szCs w:val="24"/>
          <w:lang w:eastAsia="fr-FR"/>
        </w:rPr>
        <w:t xml:space="preserve">Publié le 19/02/2019 à 06:00 </w:t>
      </w:r>
    </w:p>
    <w:p>
      <w:pPr>
        <w:pStyle w:val="style0"/>
        <w:spacing w:after="28" w:before="28" w:line="100" w:lineRule="atLeast"/>
        <w:contextualSpacing w:val="false"/>
      </w:pPr>
      <w:r>
        <w:rPr/>
      </w:r>
    </w:p>
    <w:p>
      <w:pPr>
        <w:pStyle w:val="style0"/>
        <w:spacing w:after="0" w:before="0" w:line="100" w:lineRule="atLeast"/>
        <w:contextualSpacing w:val="false"/>
      </w:pPr>
      <w:r>
        <w:rPr>
          <w:rFonts w:ascii="Times New Roman" w:cs="Times New Roman" w:eastAsia="Times New Roman" w:hAnsi="Times New Roman"/>
          <w:sz w:val="24"/>
          <w:szCs w:val="24"/>
          <w:lang w:eastAsia="fr-FR"/>
        </w:rPr>
        <w:t>Compteurs Linky : pourquoi l’UFC-Que Choisir saisit le Conseil d’État</w:t>
      </w:r>
    </w:p>
    <w:p>
      <w:pPr>
        <w:pStyle w:val="style0"/>
        <w:spacing w:after="0" w:before="0" w:line="100" w:lineRule="atLeast"/>
        <w:contextualSpacing w:val="false"/>
      </w:pPr>
      <w:r>
        <w:rPr>
          <w:rFonts w:ascii="Times New Roman" w:cs="Times New Roman" w:eastAsia="Times New Roman" w:hAnsi="Times New Roman"/>
          <w:sz w:val="24"/>
          <w:szCs w:val="24"/>
          <w:lang w:eastAsia="fr-FR"/>
        </w:rPr>
        <w:t>Le 29 janvier, l’UFC-Que Choisir a saisit le Conseil d’État. Elle dénonce le retard pris dans l’installation des afficheurs déportés permettant aux ménages les plus précaires de suivre leur consommation en direct.</w:t>
      </w:r>
    </w:p>
    <w:p>
      <w:pPr>
        <w:pStyle w:val="style0"/>
        <w:spacing w:after="0" w:before="0" w:line="100" w:lineRule="atLeast"/>
        <w:contextualSpacing w:val="false"/>
      </w:pPr>
      <w:r>
        <w:rPr>
          <w:rFonts w:ascii="Times New Roman" w:cs="Times New Roman" w:eastAsia="Times New Roman" w:hAnsi="Times New Roman"/>
          <w:sz w:val="24"/>
          <w:szCs w:val="24"/>
          <w:lang w:eastAsia="fr-FR" w:val="en-US"/>
        </w:rPr>
        <w:t>Unmute</w:t>
      </w:r>
    </w:p>
    <w:p>
      <w:pPr>
        <w:pStyle w:val="style0"/>
        <w:spacing w:after="0" w:before="0" w:line="100" w:lineRule="atLeast"/>
        <w:contextualSpacing w:val="false"/>
      </w:pPr>
      <w:r>
        <w:rPr>
          <w:rFonts w:ascii="Times New Roman" w:cs="Times New Roman" w:eastAsia="Times New Roman" w:hAnsi="Times New Roman"/>
          <w:sz w:val="24"/>
          <w:szCs w:val="24"/>
          <w:lang w:eastAsia="fr-FR" w:val="en-US"/>
        </w:rPr>
        <w:t>Current Time 0:01</w:t>
      </w:r>
    </w:p>
    <w:p>
      <w:pPr>
        <w:pStyle w:val="style0"/>
        <w:spacing w:after="0" w:before="0" w:line="100" w:lineRule="atLeast"/>
        <w:contextualSpacing w:val="false"/>
      </w:pPr>
      <w:r>
        <w:rPr>
          <w:rFonts w:ascii="Times New Roman" w:cs="Times New Roman" w:eastAsia="Times New Roman" w:hAnsi="Times New Roman"/>
          <w:sz w:val="24"/>
          <w:szCs w:val="24"/>
          <w:lang w:eastAsia="fr-FR" w:val="en-US"/>
        </w:rPr>
        <w:t>/</w:t>
      </w:r>
    </w:p>
    <w:p>
      <w:pPr>
        <w:pStyle w:val="style0"/>
        <w:spacing w:after="0" w:before="0" w:line="100" w:lineRule="atLeast"/>
        <w:contextualSpacing w:val="false"/>
      </w:pPr>
      <w:r>
        <w:rPr>
          <w:rFonts w:ascii="Times New Roman" w:cs="Times New Roman" w:eastAsia="Times New Roman" w:hAnsi="Times New Roman"/>
          <w:sz w:val="24"/>
          <w:szCs w:val="24"/>
          <w:lang w:eastAsia="fr-FR" w:val="en-US"/>
        </w:rPr>
        <w:t>Duration Time 1:50</w:t>
      </w:r>
    </w:p>
    <w:p>
      <w:pPr>
        <w:pStyle w:val="style0"/>
        <w:spacing w:after="0" w:before="0" w:line="100" w:lineRule="atLeast"/>
        <w:contextualSpacing w:val="false"/>
      </w:pPr>
      <w:r>
        <w:rPr>
          <w:rFonts w:ascii="Times New Roman" w:cs="Times New Roman" w:eastAsia="Times New Roman" w:hAnsi="Times New Roman"/>
          <w:sz w:val="24"/>
          <w:szCs w:val="24"/>
          <w:lang w:eastAsia="fr-FR" w:val="en-US"/>
        </w:rPr>
        <w:t> </w:t>
      </w:r>
    </w:p>
    <w:p>
      <w:pPr>
        <w:pStyle w:val="style0"/>
        <w:spacing w:after="28" w:before="28" w:line="100" w:lineRule="atLeast"/>
        <w:contextualSpacing w:val="false"/>
      </w:pPr>
      <w:r>
        <w:rPr>
          <w:rFonts w:ascii="Times New Roman" w:cs="Times New Roman" w:eastAsia="Times New Roman" w:hAnsi="Times New Roman"/>
          <w:color w:val="0000FF"/>
          <w:sz w:val="24"/>
          <w:szCs w:val="24"/>
          <w:lang w:eastAsia="fr-FR"/>
        </w:rPr>
        <w:t xml:space="preserve">http://www.lefigaro.fr/conso/2019/02/19/20010-20190219ARTFIG00008-les-compteurs-linky-de-nouveau-en-accusation.php </w:t>
      </w:r>
    </w:p>
    <w:p>
      <w:pPr>
        <w:pStyle w:val="style0"/>
        <w:spacing w:after="28" w:before="28" w:line="100" w:lineRule="atLeast"/>
        <w:contextualSpacing w:val="false"/>
      </w:pPr>
      <w:r>
        <w:rPr/>
      </w:r>
    </w:p>
    <w:p>
      <w:pPr>
        <w:pStyle w:val="style0"/>
        <w:spacing w:after="28" w:before="28" w:line="100" w:lineRule="atLeast"/>
        <w:contextualSpacing w:val="false"/>
      </w:pPr>
      <w:r>
        <w:rPr>
          <w:rFonts w:ascii="Times New Roman" w:cs="Times New Roman" w:eastAsia="Times New Roman" w:hAnsi="Times New Roman"/>
          <w:sz w:val="24"/>
          <w:szCs w:val="24"/>
          <w:lang w:eastAsia="fr-FR"/>
        </w:rPr>
        <w:t>VIDÉOS - Un regroupement de plus de 120 personnes dénonce ce mardi au tribunal de Paris l'usage qu'envisagerait de faire Enedis des données recueillies par les compteurs Linky.</w:t>
      </w:r>
    </w:p>
    <w:p>
      <w:pPr>
        <w:pStyle w:val="style0"/>
        <w:spacing w:after="28" w:before="28" w:line="100" w:lineRule="atLeast"/>
        <w:contextualSpacing w:val="false"/>
      </w:pPr>
      <w:r>
        <w:rPr>
          <w:rFonts w:ascii="Times New Roman" w:cs="Times New Roman" w:eastAsia="Times New Roman" w:hAnsi="Times New Roman"/>
          <w:sz w:val="24"/>
          <w:szCs w:val="24"/>
          <w:shd w:fill="FFFF00" w:val="clear"/>
          <w:lang w:eastAsia="fr-FR"/>
        </w:rPr>
        <w:t>Plus de 120 personnes demandent ce mardi au tribunal de Paris des mesures conservatoires contre les compteurs électriques Linky «communiquants», en dénonçant notamment l'usage que la filiale indépendante de distribution d'EDF Enedis envisagerait de faire des données recueillies par ces appareils.</w:t>
      </w:r>
    </w:p>
    <w:p>
      <w:pPr>
        <w:pStyle w:val="style0"/>
        <w:spacing w:after="28" w:before="28" w:line="100" w:lineRule="atLeast"/>
        <w:contextualSpacing w:val="false"/>
      </w:pPr>
      <w:r>
        <w:rPr/>
      </w:r>
    </w:p>
    <w:p>
      <w:pPr>
        <w:pStyle w:val="style0"/>
        <w:spacing w:after="28" w:before="28" w:line="100" w:lineRule="atLeast"/>
        <w:contextualSpacing w:val="false"/>
      </w:pPr>
      <w:r>
        <w:rPr>
          <w:rFonts w:ascii="Times New Roman" w:cs="Times New Roman" w:eastAsia="Times New Roman" w:hAnsi="Times New Roman"/>
          <w:b/>
          <w:bCs/>
          <w:sz w:val="24"/>
          <w:szCs w:val="24"/>
          <w:lang w:eastAsia="fr-FR"/>
        </w:rPr>
        <w:t xml:space="preserve">» LIRE AUSSI - </w:t>
      </w:r>
      <w:hyperlink r:id="rId4">
        <w:r>
          <w:rPr>
            <w:rStyle w:val="style18"/>
            <w:rFonts w:ascii="Times New Roman" w:cs="Times New Roman" w:eastAsia="Times New Roman" w:hAnsi="Times New Roman"/>
            <w:b/>
            <w:bCs/>
            <w:color w:val="0000FF"/>
            <w:sz w:val="24"/>
            <w:szCs w:val="24"/>
            <w:u w:val="single"/>
            <w:lang w:eastAsia="fr-FR"/>
          </w:rPr>
          <w:t>Bertille Bayart: «Linky ou la défaite de la raison»</w:t>
        </w:r>
      </w:hyperlink>
      <w:r>
        <w:rPr>
          <w:rFonts w:ascii="Times New Roman" w:cs="Times New Roman" w:eastAsia="Times New Roman" w:hAnsi="Times New Roman"/>
          <w:b/>
          <w:bCs/>
          <w:sz w:val="24"/>
          <w:szCs w:val="24"/>
          <w:lang w:eastAsia="fr-FR"/>
        </w:rPr>
        <w:t xml:space="preserve"> </w:t>
      </w:r>
    </w:p>
    <w:p>
      <w:pPr>
        <w:pStyle w:val="style0"/>
        <w:spacing w:after="28" w:before="28" w:line="100" w:lineRule="atLeast"/>
        <w:contextualSpacing w:val="false"/>
      </w:pPr>
      <w:r>
        <w:rPr/>
      </w:r>
    </w:p>
    <w:p>
      <w:pPr>
        <w:pStyle w:val="style0"/>
        <w:spacing w:after="28" w:before="28" w:line="100" w:lineRule="atLeast"/>
        <w:contextualSpacing w:val="false"/>
      </w:pPr>
      <w:r>
        <w:rPr>
          <w:rFonts w:ascii="Times New Roman" w:cs="Times New Roman" w:eastAsia="Times New Roman" w:hAnsi="Times New Roman"/>
          <w:sz w:val="24"/>
          <w:szCs w:val="24"/>
          <w:lang w:eastAsia="fr-FR"/>
        </w:rPr>
        <w:t>De nombreuses procédures du genre ont déjà été lancées. Mais ce type d'actions, qu'elles émanent de collectivités locales ou d'usagers, n'a guère été jusqu'ici couronné de succès. Les deux avocats des requérants espèrent franchir un premier pas vers une jurisprudence en faveur des consommateurs, si le juge des référés leur donne raison. «Si cette action prospère, ce sera un moyen pour ceux qui ne veulent pas de Linky chez eux de se placer sous la protection de la justice», explique ainsi M</w:t>
      </w:r>
      <w:r>
        <w:rPr>
          <w:rFonts w:ascii="Times New Roman" w:cs="Times New Roman" w:eastAsia="Times New Roman" w:hAnsi="Times New Roman"/>
          <w:sz w:val="24"/>
          <w:szCs w:val="24"/>
          <w:shd w:fill="FFFF00" w:val="clear"/>
          <w:lang w:eastAsia="fr-FR"/>
        </w:rPr>
        <w:t>e Christophe Léguevaques.</w:t>
      </w:r>
    </w:p>
    <w:p>
      <w:pPr>
        <w:pStyle w:val="style0"/>
        <w:spacing w:after="28" w:before="28" w:line="100" w:lineRule="atLeast"/>
        <w:contextualSpacing w:val="false"/>
      </w:pPr>
      <w:r>
        <w:rPr/>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Me Léguevaques et son confrère Arnaud Durand comptent notamment mettre en avant le fait qu'Enedis envisage d'utiliser sur une grande échelle les données captées grâce à ces compteurs de nouvelle génération. «Enedis est aujourd'hui un distributeur d'énergie mais ambitionne de devenir un courtier en information et un acteur du big data», explique Me Christophe Léguevaques. </w:t>
      </w:r>
      <w:r>
        <w:rPr>
          <w:rFonts w:ascii="Times New Roman" w:cs="Times New Roman" w:eastAsia="Times New Roman" w:hAnsi="Times New Roman"/>
          <w:sz w:val="24"/>
          <w:szCs w:val="24"/>
          <w:shd w:fill="FFFF00" w:val="clear"/>
          <w:lang w:eastAsia="fr-FR"/>
        </w:rPr>
        <w:t>Un aspect de son activité qu'Enedis fait miroiter auprès des investisseurs, soulignent les deux avocats, qui s'appuient notamment sur un document de présentation de l'entreprise et sur une décision de la Commission nationale de l'informatique et des libertés (CNIL). Dans le premier, Enedis souligne que si 35 millions de compteurs intelligents sont déployés en France, ils permettront notamment de recueillir, au rythme d'une mesure toutes les dix minutes, quelque 1.800 milliards de lignes de données par an et d'avoir une «vision 360 (degrés) du client».</w:t>
      </w:r>
    </w:p>
    <w:p>
      <w:pPr>
        <w:pStyle w:val="style0"/>
        <w:spacing w:after="28" w:before="28" w:line="100" w:lineRule="atLeast"/>
        <w:contextualSpacing w:val="false"/>
      </w:pPr>
      <w:r>
        <w:rPr>
          <w:rFonts w:ascii="Times New Roman" w:cs="Times New Roman" w:eastAsia="Times New Roman" w:hAnsi="Times New Roman"/>
          <w:b/>
          <w:bCs/>
          <w:sz w:val="36"/>
          <w:szCs w:val="36"/>
          <w:lang w:eastAsia="fr-FR"/>
        </w:rPr>
        <w:t>Une collecte «particulièrement intrusive»</w:t>
      </w:r>
    </w:p>
    <w:p>
      <w:pPr>
        <w:pStyle w:val="style0"/>
        <w:spacing w:after="28" w:before="28" w:line="100" w:lineRule="atLeast"/>
        <w:contextualSpacing w:val="false"/>
      </w:pPr>
      <w:r>
        <w:rPr>
          <w:rFonts w:ascii="Times New Roman" w:cs="Times New Roman" w:eastAsia="Times New Roman" w:hAnsi="Times New Roman"/>
          <w:sz w:val="24"/>
          <w:szCs w:val="24"/>
          <w:shd w:fill="FFFF00" w:val="clear"/>
          <w:lang w:eastAsia="fr-FR"/>
        </w:rPr>
        <w:t xml:space="preserve">Dans sa décision du 5 mars 2018, la CNIL juge pour sa part «particulièrement intrusive» cette collecte de données «susceptibles de révéler des informations sur la vie privée des personnes concernées». </w:t>
      </w:r>
      <w:r>
        <w:rPr>
          <w:rFonts w:ascii="Times New Roman" w:cs="Times New Roman" w:eastAsia="Times New Roman" w:hAnsi="Times New Roman"/>
          <w:sz w:val="24"/>
          <w:szCs w:val="24"/>
          <w:lang w:eastAsia="fr-FR"/>
        </w:rPr>
        <w:t>Selon les deux avocats, pour «communiquer» et recueillir ces données, Enedis utilise des «courants porteurs en ligne» (CPL) générant des radiofréquences situées entre 35 et 95 kHz, qui transforment le circuit électrique des clients en antenne. Or, dans un avis de juin 2017, l'Agence nationale de sécurité sanitaire (Anses) recommande d'étudier la possibilité d'installer des filtres «permettant d'éviter la propagation des signaux CPL» dans les logements et fait état d'»incertitudes sur les effets sanitaires» des fréquences mises en œuvre, font valoir les deux avocats.</w:t>
      </w:r>
    </w:p>
    <w:p>
      <w:pPr>
        <w:pStyle w:val="style0"/>
        <w:spacing w:after="28" w:before="28" w:line="100" w:lineRule="atLeast"/>
        <w:contextualSpacing w:val="false"/>
      </w:pPr>
      <w:r>
        <w:rPr>
          <w:rFonts w:ascii="Times New Roman" w:cs="Times New Roman" w:eastAsia="Times New Roman" w:hAnsi="Times New Roman"/>
          <w:sz w:val="24"/>
          <w:szCs w:val="24"/>
          <w:lang w:eastAsia="fr-FR"/>
        </w:rPr>
        <w:t>Ils dénoncent enfin le fait que l'«évaluateur officiel» du compteur Linky, le groupe Capgemini, ait été en quelque sorte juge et partie dans cette affaire. Cette entreprise de conseil dans la haute technologie a recommandé à la Commission de régulation de l'énergie (CRE) de poursuivre le déploiement de ces appareils. Mais elle s'est aussi vue confier en 2011 deux contrats liés au déploiement de Linky par ERDF, devenue Enedis en 2016: l'un d'assistance à maîtrise d'ouvrage, l'autre de maîtrise d'œuvre, expliquent Me Léguevaques et Durand.</w:t>
      </w:r>
    </w:p>
    <w:p>
      <w:pPr>
        <w:pStyle w:val="style0"/>
        <w:spacing w:after="28" w:before="28" w:line="100" w:lineRule="atLeast"/>
        <w:contextualSpacing w:val="false"/>
      </w:pPr>
      <w:r>
        <w:rPr>
          <w:rFonts w:ascii="Times New Roman" w:cs="Times New Roman" w:eastAsia="Times New Roman" w:hAnsi="Times New Roman"/>
          <w:sz w:val="24"/>
          <w:szCs w:val="24"/>
          <w:lang w:eastAsia="fr-FR"/>
        </w:rPr>
        <w:t>Ils demandent notamment au tribunal d'enjoindre à Enedis de ne pas installer de compteur Linky chez leurs clients, de leur fournir une électricité exempte de tout courant CPL et de leur communiquer toutes une série d'informations, notamment sur la nature des données collectées par cet appareil.</w:t>
      </w:r>
    </w:p>
    <w:p>
      <w:pPr>
        <w:pStyle w:val="style0"/>
      </w:pPr>
      <w:r>
        <w:rPr/>
      </w:r>
    </w:p>
    <w:sectPr>
      <w:type w:val="nextPage"/>
      <w:pgSz w:h="16838" w:w="11906"/>
      <w:pgMar w:bottom="1417" w:footer="0" w:gutter="0" w:header="0" w:left="1417" w:right="1417" w:top="1417"/>
      <w:pgNumType w:fmt="decimal"/>
      <w:formProt w:val="false"/>
      <w:textDirection w:val="lrTb"/>
      <w:docGrid w:charSpace="4096"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libri">
    <w:charset w:val="00"/>
    <w:family w:val="roman"/>
    <w:pitch w:val="variable"/>
  </w:font>
  <w:font w:name="Tahoma">
    <w:charset w:val="00"/>
    <w:family w:val="roman"/>
    <w:pitch w:val="variable"/>
  </w:font>
  <w:font w:name="Courier New">
    <w:charset w:val="80"/>
    <w:family w:val="modern"/>
    <w:pitch w:val="fixed"/>
  </w:font>
  <w:font w:name="Wingdings">
    <w:charset w:val="02"/>
    <w:family w:val="auto"/>
    <w:pitch w:val="variable"/>
  </w:font>
</w:fonts>
</file>

<file path=word/numbering.xml><?xml version="1.0" encoding="utf-8"?>
<w:numbering xmlns:w="http://schemas.openxmlformats.org/wordprocessingml/2006/main">
  <w:abstractNum w:abstractNumId="1">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200" w:before="0" w:line="276" w:lineRule="auto"/>
      <w:contextualSpacing w:val="false"/>
    </w:pPr>
    <w:rPr>
      <w:rFonts w:ascii="Calibri" w:cs="Calibri" w:eastAsia="Arial Unicode MS" w:hAnsi="Calibri"/>
      <w:color w:val="auto"/>
      <w:sz w:val="22"/>
      <w:szCs w:val="22"/>
      <w:lang w:bidi="ar-SA" w:eastAsia="en-US" w:val="fr-FR"/>
    </w:rPr>
  </w:style>
  <w:style w:styleId="style1" w:type="paragraph">
    <w:name w:val="Titre 1"/>
    <w:basedOn w:val="style0"/>
    <w:next w:val="style1"/>
    <w:pPr>
      <w:spacing w:after="28" w:before="28" w:line="100" w:lineRule="atLeast"/>
      <w:contextualSpacing w:val="false"/>
    </w:pPr>
    <w:rPr>
      <w:rFonts w:ascii="Times New Roman" w:cs="Times New Roman" w:eastAsia="Times New Roman" w:hAnsi="Times New Roman"/>
      <w:b/>
      <w:bCs/>
      <w:sz w:val="48"/>
      <w:szCs w:val="48"/>
      <w:lang w:eastAsia="fr-FR"/>
    </w:rPr>
  </w:style>
  <w:style w:styleId="style2" w:type="paragraph">
    <w:name w:val="Titre 2"/>
    <w:basedOn w:val="style0"/>
    <w:next w:val="style2"/>
    <w:pPr>
      <w:spacing w:after="28" w:before="28" w:line="100" w:lineRule="atLeast"/>
      <w:contextualSpacing w:val="false"/>
    </w:pPr>
    <w:rPr>
      <w:rFonts w:ascii="Times New Roman" w:cs="Times New Roman" w:eastAsia="Times New Roman" w:hAnsi="Times New Roman"/>
      <w:b/>
      <w:bCs/>
      <w:sz w:val="36"/>
      <w:szCs w:val="36"/>
      <w:lang w:eastAsia="fr-FR"/>
    </w:rPr>
  </w:style>
  <w:style w:styleId="style15" w:type="character">
    <w:name w:val="Default Paragraph Font"/>
    <w:next w:val="style15"/>
    <w:rPr/>
  </w:style>
  <w:style w:styleId="style16" w:type="character">
    <w:name w:val="Titre 1 Car"/>
    <w:basedOn w:val="style15"/>
    <w:next w:val="style16"/>
    <w:rPr>
      <w:rFonts w:ascii="Times New Roman" w:cs="Times New Roman" w:eastAsia="Times New Roman" w:hAnsi="Times New Roman"/>
      <w:b/>
      <w:bCs/>
      <w:sz w:val="48"/>
      <w:szCs w:val="48"/>
      <w:lang w:eastAsia="fr-FR"/>
    </w:rPr>
  </w:style>
  <w:style w:styleId="style17" w:type="character">
    <w:name w:val="Titre 2 Car"/>
    <w:basedOn w:val="style15"/>
    <w:next w:val="style17"/>
    <w:rPr>
      <w:rFonts w:ascii="Times New Roman" w:cs="Times New Roman" w:eastAsia="Times New Roman" w:hAnsi="Times New Roman"/>
      <w:b/>
      <w:bCs/>
      <w:sz w:val="36"/>
      <w:szCs w:val="36"/>
      <w:lang w:eastAsia="fr-FR"/>
    </w:rPr>
  </w:style>
  <w:style w:styleId="style18" w:type="character">
    <w:name w:val="Lien Internet"/>
    <w:basedOn w:val="style15"/>
    <w:next w:val="style18"/>
    <w:rPr>
      <w:color w:val="0000FF"/>
      <w:u w:val="single"/>
      <w:lang w:bidi="zxx-" w:eastAsia="zxx-" w:val="zxx-"/>
    </w:rPr>
  </w:style>
  <w:style w:styleId="style19" w:type="character">
    <w:name w:val="fig-content-metas__author"/>
    <w:basedOn w:val="style15"/>
    <w:next w:val="style19"/>
    <w:rPr/>
  </w:style>
  <w:style w:styleId="style20" w:type="character">
    <w:name w:val="vjs-control-text"/>
    <w:basedOn w:val="style15"/>
    <w:next w:val="style20"/>
    <w:rPr/>
  </w:style>
  <w:style w:styleId="style21" w:type="character">
    <w:name w:val="fig-micronav__comments-number"/>
    <w:basedOn w:val="style15"/>
    <w:next w:val="style21"/>
    <w:rPr/>
  </w:style>
  <w:style w:styleId="style22" w:type="character">
    <w:name w:val="fig-micronav__comments-wording"/>
    <w:basedOn w:val="style15"/>
    <w:next w:val="style22"/>
    <w:rPr/>
  </w:style>
  <w:style w:styleId="style23" w:type="character">
    <w:name w:val="a11y-hidden"/>
    <w:basedOn w:val="style15"/>
    <w:next w:val="style23"/>
    <w:rPr/>
  </w:style>
  <w:style w:styleId="style24" w:type="character">
    <w:name w:val="Texte de bulles Car"/>
    <w:basedOn w:val="style15"/>
    <w:next w:val="style24"/>
    <w:rPr>
      <w:rFonts w:ascii="Tahoma" w:cs="Tahoma" w:hAnsi="Tahoma"/>
      <w:sz w:val="16"/>
      <w:szCs w:val="16"/>
    </w:rPr>
  </w:style>
  <w:style w:styleId="style25" w:type="character">
    <w:name w:val="ListLabel 1"/>
    <w:next w:val="style25"/>
    <w:rPr>
      <w:sz w:val="20"/>
    </w:rPr>
  </w:style>
  <w:style w:styleId="style26" w:type="paragraph">
    <w:name w:val="Titre"/>
    <w:basedOn w:val="style0"/>
    <w:next w:val="style27"/>
    <w:pPr>
      <w:keepNext/>
      <w:spacing w:after="120" w:before="240"/>
      <w:contextualSpacing w:val="false"/>
    </w:pPr>
    <w:rPr>
      <w:rFonts w:ascii="Arial" w:cs="Mangal" w:eastAsia="Arial Unicode MS" w:hAnsi="Arial"/>
      <w:sz w:val="28"/>
      <w:szCs w:val="28"/>
    </w:rPr>
  </w:style>
  <w:style w:styleId="style27" w:type="paragraph">
    <w:name w:val="Corps de texte"/>
    <w:basedOn w:val="style0"/>
    <w:next w:val="style27"/>
    <w:pPr>
      <w:spacing w:after="120" w:before="0"/>
      <w:contextualSpacing w:val="false"/>
    </w:pPr>
    <w:rPr/>
  </w:style>
  <w:style w:styleId="style28" w:type="paragraph">
    <w:name w:val="Liste"/>
    <w:basedOn w:val="style27"/>
    <w:next w:val="style28"/>
    <w:pPr/>
    <w:rPr>
      <w:rFonts w:cs="Mangal"/>
    </w:rPr>
  </w:style>
  <w:style w:styleId="style29" w:type="paragraph">
    <w:name w:val="Légende"/>
    <w:basedOn w:val="style0"/>
    <w:next w:val="style29"/>
    <w:pPr>
      <w:suppressLineNumbers/>
      <w:spacing w:after="120" w:before="120"/>
      <w:contextualSpacing w:val="false"/>
    </w:pPr>
    <w:rPr>
      <w:rFonts w:cs="Mangal"/>
      <w:i/>
      <w:iCs/>
      <w:sz w:val="24"/>
      <w:szCs w:val="24"/>
    </w:rPr>
  </w:style>
  <w:style w:styleId="style30" w:type="paragraph">
    <w:name w:val="Index"/>
    <w:basedOn w:val="style0"/>
    <w:next w:val="style30"/>
    <w:pPr>
      <w:suppressLineNumbers/>
    </w:pPr>
    <w:rPr>
      <w:rFonts w:cs="Mangal"/>
    </w:rPr>
  </w:style>
  <w:style w:styleId="style31" w:type="paragraph">
    <w:name w:val="fig-content__chapo"/>
    <w:basedOn w:val="style0"/>
    <w:next w:val="style31"/>
    <w:pPr>
      <w:spacing w:after="28" w:before="28" w:line="100" w:lineRule="atLeast"/>
      <w:contextualSpacing w:val="false"/>
    </w:pPr>
    <w:rPr>
      <w:rFonts w:ascii="Times New Roman" w:cs="Times New Roman" w:eastAsia="Times New Roman" w:hAnsi="Times New Roman"/>
      <w:sz w:val="24"/>
      <w:szCs w:val="24"/>
      <w:lang w:eastAsia="fr-FR"/>
    </w:rPr>
  </w:style>
  <w:style w:styleId="style32" w:type="paragraph">
    <w:name w:val="Normal (Web)"/>
    <w:basedOn w:val="style0"/>
    <w:next w:val="style32"/>
    <w:pPr>
      <w:spacing w:after="28" w:before="28" w:line="100" w:lineRule="atLeast"/>
      <w:contextualSpacing w:val="false"/>
    </w:pPr>
    <w:rPr>
      <w:rFonts w:ascii="Times New Roman" w:cs="Times New Roman" w:eastAsia="Times New Roman" w:hAnsi="Times New Roman"/>
      <w:sz w:val="24"/>
      <w:szCs w:val="24"/>
      <w:lang w:eastAsia="fr-FR"/>
    </w:rPr>
  </w:style>
  <w:style w:styleId="style33" w:type="paragraph">
    <w:name w:val="Balloon Text"/>
    <w:basedOn w:val="style0"/>
    <w:next w:val="style33"/>
    <w:pPr>
      <w:spacing w:after="0" w:before="0" w:line="100" w:lineRule="atLeast"/>
      <w:contextualSpacing w:val="false"/>
    </w:pPr>
    <w:rPr>
      <w:rFonts w:ascii="Tahoma" w:cs="Tahoma" w:hAnsi="Tahoma"/>
      <w:sz w:val="16"/>
      <w:szCs w:val="1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plus.lefigaro.fr/page/lefigarofrlefigarofr" TargetMode="External"/><Relationship Id="rId4" Type="http://schemas.openxmlformats.org/officeDocument/2006/relationships/hyperlink" Target="http://www.lefigaro.fr/vox/societe/2018/10/02/31003-20181002ARTFIG00283-bertille-bayart-linky-ou-la-defaite-de-la-raison.php"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0</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2019-02-19T15:11:00.00Z</dcterms:created>
  <dc:creator>BIGANM</dc:creator>
  <cp:lastModifiedBy>BIGANM</cp:lastModifiedBy>
  <dcterms:modified xsi:type="dcterms:W3CDTF">2019-02-19T18:30:00.00Z</dcterms:modified>
  <cp:revision>1</cp:revision>
</cp:coreProperties>
</file>